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w:t>
      </w:r>
      <w:r w:rsidR="001D3F1F">
        <w:rPr>
          <w:rFonts w:ascii="Times New Roman" w:eastAsia="Times New Roman" w:hAnsi="Times New Roman" w:cs="Times New Roman"/>
          <w:b/>
          <w:bCs/>
          <w:color w:val="0070C0"/>
          <w:sz w:val="24"/>
          <w:szCs w:val="24"/>
          <w:lang w:eastAsia="tr-TR"/>
        </w:rPr>
        <w:t xml:space="preserve"> </w:t>
      </w:r>
      <w:r w:rsidRPr="005A7788">
        <w:rPr>
          <w:rFonts w:ascii="Times New Roman" w:eastAsia="Times New Roman" w:hAnsi="Times New Roman" w:cs="Times New Roman"/>
          <w:b/>
          <w:bCs/>
          <w:color w:val="0070C0"/>
          <w:sz w:val="24"/>
          <w:szCs w:val="24"/>
          <w:lang w:eastAsia="tr-TR"/>
        </w:rPr>
        <w:t>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Cs/>
          <w:color w:val="000000" w:themeColor="text1"/>
          <w:sz w:val="28"/>
          <w:szCs w:val="28"/>
          <w:lang w:eastAsia="tr-TR"/>
        </w:rPr>
        <w:t xml:space="preserve">ekranlarında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Bu işlem yapılmadığı takdirde e-okul ve diğer modüllerden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üzerinden ;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Tam gün/tam yıl, çırak-kursiyer sayısı, 3308’e tabi  öğrenci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e-okul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(Özel Eğitim kurumlarında öğrenci açılımı yapılan sütunlardaki toplam şube ve öğrenci sayıları  ile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r w:rsidR="00405A22">
        <w:rPr>
          <w:rFonts w:ascii="Times New Roman" w:eastAsia="Times New Roman" w:hAnsi="Times New Roman" w:cs="Times New Roman"/>
          <w:bCs/>
          <w:color w:val="FF0000"/>
          <w:sz w:val="28"/>
          <w:szCs w:val="28"/>
          <w:lang w:eastAsia="tr-TR"/>
        </w:rPr>
        <w:t xml:space="preserve">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(Örn</w:t>
      </w:r>
      <w:r w:rsidRPr="00ED6AA9">
        <w:rPr>
          <w:rFonts w:ascii="Times New Roman" w:eastAsia="Times New Roman" w:hAnsi="Times New Roman" w:cs="Times New Roman"/>
          <w:bCs/>
          <w:sz w:val="28"/>
          <w:szCs w:val="28"/>
          <w:lang w:eastAsia="tr-TR"/>
        </w:rPr>
        <w:t>: almanca, fransızca, arapça</w:t>
      </w:r>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öncesi , </w:t>
      </w:r>
      <w:r w:rsidRPr="00ED6AA9">
        <w:rPr>
          <w:rFonts w:ascii="Times New Roman" w:eastAsia="Times New Roman" w:hAnsi="Times New Roman" w:cs="Times New Roman"/>
          <w:bCs/>
          <w:sz w:val="28"/>
          <w:szCs w:val="28"/>
          <w:lang w:eastAsia="tr-TR"/>
        </w:rPr>
        <w:t xml:space="preserve"> özel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gerekmektedir.</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r w:rsidRPr="00ED6AA9">
        <w:rPr>
          <w:rFonts w:ascii="Times New Roman" w:eastAsia="Times New Roman" w:hAnsi="Times New Roman" w:cs="Times New Roman"/>
          <w:bCs/>
          <w:sz w:val="27"/>
          <w:szCs w:val="27"/>
          <w:lang w:eastAsia="tr-TR"/>
        </w:rPr>
        <w:t>gerekmektedir.</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A9"/>
    <w:rsid w:val="00065CAD"/>
    <w:rsid w:val="00137191"/>
    <w:rsid w:val="00160C92"/>
    <w:rsid w:val="00162B4B"/>
    <w:rsid w:val="0017137E"/>
    <w:rsid w:val="001D0EEA"/>
    <w:rsid w:val="001D3F1F"/>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576C5"/>
    <w:rsid w:val="0075562F"/>
    <w:rsid w:val="00760ADD"/>
    <w:rsid w:val="00793136"/>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FCB0-0A37-4EBC-95C9-340A4408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CELAL</cp:lastModifiedBy>
  <cp:revision>2</cp:revision>
  <cp:lastPrinted>2017-10-03T11:02:00Z</cp:lastPrinted>
  <dcterms:created xsi:type="dcterms:W3CDTF">2017-10-12T08:05:00Z</dcterms:created>
  <dcterms:modified xsi:type="dcterms:W3CDTF">2017-10-12T08:05:00Z</dcterms:modified>
</cp:coreProperties>
</file>