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BF" w:rsidRPr="00F93552" w:rsidRDefault="00D64EBF" w:rsidP="00D64EBF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000000" w:themeColor="text1"/>
          <w:kern w:val="36"/>
          <w:sz w:val="36"/>
          <w:szCs w:val="24"/>
          <w:lang w:eastAsia="tr-TR"/>
        </w:rPr>
      </w:pPr>
      <w:r w:rsidRPr="00F93552">
        <w:rPr>
          <w:rFonts w:asciiTheme="majorHAnsi" w:eastAsia="Times New Roman" w:hAnsiTheme="majorHAnsi" w:cs="Arial"/>
          <w:b/>
          <w:bCs/>
          <w:color w:val="000000" w:themeColor="text1"/>
          <w:kern w:val="36"/>
          <w:sz w:val="36"/>
          <w:szCs w:val="24"/>
          <w:lang w:eastAsia="tr-TR"/>
        </w:rPr>
        <w:t>Beyaz Bayrak Kriterleri</w:t>
      </w:r>
    </w:p>
    <w:p w:rsidR="00D64EBF" w:rsidRDefault="00D64EBF" w:rsidP="00D64EB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18"/>
          <w:lang w:eastAsia="tr-TR"/>
        </w:rPr>
      </w:pPr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Okulların temizlik ve </w:t>
      </w:r>
      <w:proofErr w:type="gramStart"/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>hijyen</w:t>
      </w:r>
      <w:proofErr w:type="gramEnd"/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 konusunda teşvik edilmesi, toplum sağlığının korunması ve geliştirilmesi, yaşam kalitesinin yükseltilmesi, yeterli eğitim almış sağlıklı nesiller yetiştirilmesinin amaçlandığı Beyaz Bayrak projesi, Millî Eğitim Bakanlığına bağlı kamu ve özel; okul öncesi, ilkokul, ortaokul ve liseler ile mesleki eğitim merkezi, halk eğitimi merkezi, eğitim uygulama okulu ve iş sağlığı eğitim merkezlerini kapsamaktadır. </w:t>
      </w:r>
    </w:p>
    <w:p w:rsidR="00D64EBF" w:rsidRPr="007639C3" w:rsidRDefault="00D64EBF" w:rsidP="00D64EB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18"/>
          <w:lang w:eastAsia="tr-TR"/>
        </w:rPr>
      </w:pPr>
      <w:r>
        <w:rPr>
          <w:rFonts w:asciiTheme="majorHAnsi" w:eastAsia="Times New Roman" w:hAnsiTheme="majorHAnsi" w:cs="Arial"/>
          <w:sz w:val="24"/>
          <w:szCs w:val="18"/>
          <w:lang w:eastAsia="tr-TR"/>
        </w:rPr>
        <w:t>B</w:t>
      </w:r>
      <w:r w:rsidRPr="007639C3"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eyaz Bayrak Projesine, ‘Beyaz Bayrak İş Birliği Protokolü’ kapsamında ‘Beyaz Bayrak Eğitim Kurumu Denetim Formunda (EK:1)’ belirlenen </w:t>
      </w:r>
      <w:proofErr w:type="gramStart"/>
      <w:r w:rsidRPr="007639C3">
        <w:rPr>
          <w:rFonts w:asciiTheme="majorHAnsi" w:eastAsia="Times New Roman" w:hAnsiTheme="majorHAnsi" w:cs="Arial"/>
          <w:sz w:val="24"/>
          <w:szCs w:val="18"/>
          <w:lang w:eastAsia="tr-TR"/>
        </w:rPr>
        <w:t>kriterlere</w:t>
      </w:r>
      <w:proofErr w:type="gramEnd"/>
      <w:r w:rsidRPr="007639C3"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 uygun olan eğitim kurumları ‘Beyaz Bayrak Başvuru Formu (EK:2)’ ile bağlı olduğu İlçe Millî Eğitim Müdürlüğüne başvurusunu yapar. Aynı bina içerisinde anaokulu, ilkokulu, ortaokul ve lisesi bulunan eğitim kurumları başvurularını bu bölümler için ayrı ayrı</w:t>
      </w:r>
      <w:r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 olarak </w:t>
      </w:r>
      <w:r w:rsidRPr="007639C3">
        <w:rPr>
          <w:rFonts w:asciiTheme="majorHAnsi" w:eastAsia="Times New Roman" w:hAnsiTheme="majorHAnsi" w:cs="Arial"/>
          <w:sz w:val="24"/>
          <w:szCs w:val="18"/>
          <w:lang w:eastAsia="tr-TR"/>
        </w:rPr>
        <w:t>yapar</w:t>
      </w:r>
      <w:r>
        <w:rPr>
          <w:rFonts w:asciiTheme="majorHAnsi" w:eastAsia="Times New Roman" w:hAnsiTheme="majorHAnsi" w:cs="Arial"/>
          <w:sz w:val="24"/>
          <w:szCs w:val="18"/>
          <w:lang w:eastAsia="tr-TR"/>
        </w:rPr>
        <w:t>,</w:t>
      </w:r>
      <w:r w:rsidRPr="007639C3"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 </w:t>
      </w:r>
      <w:r>
        <w:rPr>
          <w:rFonts w:asciiTheme="majorHAnsi" w:eastAsia="Times New Roman" w:hAnsiTheme="majorHAnsi" w:cs="Arial"/>
          <w:sz w:val="24"/>
          <w:szCs w:val="18"/>
          <w:lang w:eastAsia="tr-TR"/>
        </w:rPr>
        <w:t>d</w:t>
      </w:r>
      <w:r w:rsidRPr="007639C3">
        <w:rPr>
          <w:rFonts w:asciiTheme="majorHAnsi" w:eastAsia="Times New Roman" w:hAnsiTheme="majorHAnsi" w:cs="Arial"/>
          <w:sz w:val="24"/>
          <w:szCs w:val="18"/>
          <w:lang w:eastAsia="tr-TR"/>
        </w:rPr>
        <w:t>enetim ekibince doldurulacak formlar da her eğitim</w:t>
      </w:r>
      <w:r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 </w:t>
      </w:r>
      <w:r w:rsidRPr="007639C3">
        <w:rPr>
          <w:rFonts w:asciiTheme="majorHAnsi" w:eastAsia="Times New Roman" w:hAnsiTheme="majorHAnsi" w:cs="Arial"/>
          <w:sz w:val="24"/>
          <w:szCs w:val="18"/>
          <w:lang w:eastAsia="tr-TR"/>
        </w:rPr>
        <w:t>öğretim programı</w:t>
      </w:r>
      <w:r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 için ayrı ayrı doldurulur.</w:t>
      </w:r>
      <w:r w:rsidRPr="007639C3"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 </w:t>
      </w:r>
      <w:r>
        <w:rPr>
          <w:rFonts w:asciiTheme="majorHAnsi" w:eastAsia="Times New Roman" w:hAnsiTheme="majorHAnsi" w:cs="Arial"/>
          <w:sz w:val="24"/>
          <w:szCs w:val="18"/>
          <w:lang w:eastAsia="tr-TR"/>
        </w:rPr>
        <w:t>Bunların değerlendirmesi sonucunda beyaz bayrak alınmasının uygun görülmesi halinde eğitim kurumunun geneli için bir adet Beyaz Bayrak ve Pirinç Levha verilir, diğer bölümler içinse ayrı ayrı Beyaz Bayrak sertifikası düzenlenir.</w:t>
      </w:r>
    </w:p>
    <w:p w:rsidR="00D64EBF" w:rsidRPr="00292665" w:rsidRDefault="00D64EBF" w:rsidP="00D64EB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18"/>
          <w:lang w:eastAsia="tr-TR"/>
        </w:rPr>
      </w:pPr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>Beyaz Bayrak Projesi’ne başvuruda bulunan eğitim kurumları, aşağıda istenilen belgeleri bir dosya içinde Beyaz Bayrak Denetim Komisyonuna ibraz etmelidirler. İstenilen belgeler;</w:t>
      </w:r>
    </w:p>
    <w:p w:rsidR="00D64EBF" w:rsidRPr="00292665" w:rsidRDefault="00D64EBF" w:rsidP="00D64EB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18"/>
          <w:lang w:eastAsia="tr-TR"/>
        </w:rPr>
      </w:pPr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>Zararlılarla mücadele yapıldığına dair belge,</w:t>
      </w:r>
    </w:p>
    <w:p w:rsidR="00D64EBF" w:rsidRPr="00292665" w:rsidRDefault="00D64EBF" w:rsidP="00D64EB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18"/>
          <w:lang w:eastAsia="tr-TR"/>
        </w:rPr>
      </w:pPr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>Sınıflar, kantin/kooperatif/yemekhane ve tuvaletlerin temizliğinin periyodik olarak yapıldığına dair temizlik takip çizelgesi,</w:t>
      </w:r>
    </w:p>
    <w:p w:rsidR="00D64EBF" w:rsidRPr="00292665" w:rsidRDefault="00D64EBF" w:rsidP="00D64EB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18"/>
          <w:lang w:eastAsia="tr-TR"/>
        </w:rPr>
      </w:pPr>
      <w:r w:rsidRPr="0060659F">
        <w:rPr>
          <w:rFonts w:asciiTheme="majorHAnsi" w:eastAsia="Times New Roman" w:hAnsiTheme="majorHAnsi" w:cs="Arial"/>
          <w:b/>
          <w:color w:val="FF0000"/>
          <w:sz w:val="24"/>
          <w:szCs w:val="18"/>
          <w:lang w:eastAsia="tr-TR"/>
        </w:rPr>
        <w:t>İlçe Toplum Sağlığı Merkezi’nden yaptırılacak</w:t>
      </w:r>
      <w:r w:rsidRPr="0060659F">
        <w:rPr>
          <w:rFonts w:asciiTheme="majorHAnsi" w:eastAsia="Times New Roman" w:hAnsiTheme="majorHAnsi" w:cs="Arial"/>
          <w:color w:val="FF0000"/>
          <w:sz w:val="24"/>
          <w:szCs w:val="18"/>
          <w:lang w:eastAsia="tr-TR"/>
        </w:rPr>
        <w:t xml:space="preserve"> </w:t>
      </w:r>
      <w:r>
        <w:rPr>
          <w:rFonts w:asciiTheme="majorHAnsi" w:eastAsia="Times New Roman" w:hAnsiTheme="majorHAnsi" w:cs="Arial"/>
          <w:sz w:val="24"/>
          <w:szCs w:val="18"/>
          <w:lang w:eastAsia="tr-TR"/>
        </w:rPr>
        <w:t>K</w:t>
      </w:r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>uyu/</w:t>
      </w:r>
      <w:r>
        <w:rPr>
          <w:rFonts w:asciiTheme="majorHAnsi" w:eastAsia="Times New Roman" w:hAnsiTheme="majorHAnsi" w:cs="Arial"/>
          <w:sz w:val="24"/>
          <w:szCs w:val="18"/>
          <w:lang w:eastAsia="tr-TR"/>
        </w:rPr>
        <w:t>Ş</w:t>
      </w:r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>ebeke su numunelerinin İTASY (insani Tüketim Amaçlı Sular Hakkında Yönetmelik) Ek-1a’da yer alan 3 mikrobiyolojik parametreye uygunluk analiz sonucu</w:t>
      </w:r>
      <w:r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 </w:t>
      </w:r>
      <w:r w:rsidRPr="0060659F">
        <w:rPr>
          <w:rFonts w:asciiTheme="majorHAnsi" w:eastAsia="Times New Roman" w:hAnsiTheme="majorHAnsi" w:cs="Arial"/>
          <w:b/>
          <w:color w:val="FF0000"/>
          <w:sz w:val="24"/>
          <w:szCs w:val="18"/>
          <w:lang w:eastAsia="tr-TR"/>
        </w:rPr>
        <w:t>(Pansiyonu bulunan eğitim kurumları her iki bina için yaptıracaktır.)</w:t>
      </w:r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>,</w:t>
      </w:r>
    </w:p>
    <w:p w:rsidR="00015E0A" w:rsidRDefault="005F1CAC" w:rsidP="00D64EB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18"/>
          <w:lang w:eastAsia="tr-TR"/>
        </w:rPr>
      </w:pPr>
      <w:r w:rsidRPr="005F1CAC">
        <w:rPr>
          <w:rFonts w:asciiTheme="majorHAnsi" w:eastAsia="Times New Roman" w:hAnsiTheme="majorHAnsi" w:cs="Arial"/>
          <w:sz w:val="24"/>
          <w:szCs w:val="18"/>
          <w:lang w:eastAsia="tr-TR"/>
        </w:rPr>
        <w:t>Yemekhane/</w:t>
      </w:r>
      <w:r w:rsidR="00D64EBF" w:rsidRPr="005F1CAC">
        <w:rPr>
          <w:rFonts w:asciiTheme="majorHAnsi" w:eastAsia="Times New Roman" w:hAnsiTheme="majorHAnsi" w:cs="Arial"/>
          <w:sz w:val="24"/>
          <w:szCs w:val="18"/>
          <w:lang w:eastAsia="tr-TR"/>
        </w:rPr>
        <w:t>Kantin/K</w:t>
      </w:r>
      <w:r w:rsidRPr="005F1CAC">
        <w:rPr>
          <w:rFonts w:asciiTheme="majorHAnsi" w:eastAsia="Times New Roman" w:hAnsiTheme="majorHAnsi" w:cs="Arial"/>
          <w:sz w:val="24"/>
          <w:szCs w:val="18"/>
          <w:lang w:eastAsia="tr-TR"/>
        </w:rPr>
        <w:t>afeterya</w:t>
      </w:r>
      <w:r w:rsidR="00D64EBF" w:rsidRPr="005F1CAC">
        <w:rPr>
          <w:rFonts w:asciiTheme="majorHAnsi" w:eastAsia="Times New Roman" w:hAnsiTheme="majorHAnsi" w:cs="Arial"/>
          <w:sz w:val="24"/>
          <w:szCs w:val="18"/>
          <w:lang w:eastAsia="tr-TR"/>
        </w:rPr>
        <w:t>/</w:t>
      </w:r>
      <w:r w:rsidRPr="005F1CAC"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Büfe/Çay Ocağı vb. gıda işletmesi </w:t>
      </w:r>
      <w:r w:rsidR="00D64EBF" w:rsidRPr="005F1CAC"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çalışanlarının </w:t>
      </w:r>
      <w:proofErr w:type="gramStart"/>
      <w:r w:rsidR="00D64EBF" w:rsidRPr="005F1CAC">
        <w:rPr>
          <w:rFonts w:asciiTheme="majorHAnsi" w:eastAsia="Times New Roman" w:hAnsiTheme="majorHAnsi" w:cs="Arial"/>
          <w:sz w:val="24"/>
          <w:szCs w:val="18"/>
          <w:lang w:eastAsia="tr-TR"/>
        </w:rPr>
        <w:t>hijyen</w:t>
      </w:r>
      <w:proofErr w:type="gramEnd"/>
      <w:r w:rsidR="00D64EBF" w:rsidRPr="005F1CAC"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 belgesi</w:t>
      </w:r>
      <w:r w:rsidR="00015E0A">
        <w:rPr>
          <w:rFonts w:asciiTheme="majorHAnsi" w:eastAsia="Times New Roman" w:hAnsiTheme="majorHAnsi" w:cs="Arial"/>
          <w:sz w:val="24"/>
          <w:szCs w:val="18"/>
          <w:lang w:eastAsia="tr-TR"/>
        </w:rPr>
        <w:t>;</w:t>
      </w:r>
      <w:r w:rsidR="00D64EBF" w:rsidRPr="005F1CAC"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 </w:t>
      </w:r>
    </w:p>
    <w:p w:rsidR="00015E0A" w:rsidRPr="00015E0A" w:rsidRDefault="005F1CAC" w:rsidP="00015E0A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18"/>
          <w:lang w:eastAsia="tr-TR"/>
        </w:rPr>
      </w:pPr>
      <w:r w:rsidRPr="005F1CAC">
        <w:rPr>
          <w:b/>
          <w:i/>
        </w:rPr>
        <w:t>Hijyen Eğitim Yönetmeliği Gereği Kurs Bitirme Belgesi</w:t>
      </w:r>
      <w:r w:rsidR="0020729D">
        <w:rPr>
          <w:b/>
          <w:i/>
        </w:rPr>
        <w:t xml:space="preserve"> </w:t>
      </w:r>
      <w:r w:rsidR="0020729D" w:rsidRPr="0020729D">
        <w:rPr>
          <w:b/>
          <w:i/>
          <w:color w:val="FF0000"/>
        </w:rPr>
        <w:t>(Halk Eğitimi Merkezleri veya mesleki eğitim merkezlerinden alınabilir</w:t>
      </w:r>
      <w:r w:rsidR="0020729D">
        <w:rPr>
          <w:b/>
          <w:i/>
          <w:color w:val="FF0000"/>
        </w:rPr>
        <w:t>)</w:t>
      </w:r>
    </w:p>
    <w:p w:rsidR="005F1CAC" w:rsidRPr="005F1CAC" w:rsidRDefault="005F1CAC" w:rsidP="00015E0A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18"/>
          <w:lang w:eastAsia="tr-TR"/>
        </w:rPr>
      </w:pPr>
      <w:r w:rsidRPr="005F1CAC">
        <w:rPr>
          <w:b/>
          <w:i/>
        </w:rPr>
        <w:t>Okul Kantinlerine Dair Özel Hijyen Kuralları Yönetmeliği Gereği Eğitime Katılım Belgesi</w:t>
      </w:r>
      <w:r w:rsidR="0020729D">
        <w:rPr>
          <w:b/>
          <w:i/>
        </w:rPr>
        <w:t xml:space="preserve"> </w:t>
      </w:r>
      <w:r w:rsidR="0020729D" w:rsidRPr="0020729D">
        <w:rPr>
          <w:b/>
          <w:i/>
          <w:color w:val="FF0000"/>
        </w:rPr>
        <w:t>(İl Millî Eğitim Müdürlüklerinden alınabilir</w:t>
      </w:r>
      <w:r w:rsidRPr="0020729D">
        <w:rPr>
          <w:b/>
          <w:i/>
          <w:color w:val="FF0000"/>
        </w:rPr>
        <w:t>)</w:t>
      </w:r>
    </w:p>
    <w:p w:rsidR="00D64EBF" w:rsidRDefault="00D64EBF" w:rsidP="00D64EB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18"/>
          <w:lang w:eastAsia="tr-TR"/>
        </w:rPr>
      </w:pPr>
      <w:r w:rsidRPr="005F1CAC">
        <w:rPr>
          <w:rFonts w:asciiTheme="majorHAnsi" w:eastAsia="Times New Roman" w:hAnsiTheme="majorHAnsi" w:cs="Arial"/>
          <w:sz w:val="24"/>
          <w:szCs w:val="18"/>
          <w:lang w:eastAsia="tr-TR"/>
        </w:rPr>
        <w:t>İlk Yardım sertifikası almış personelin sertifikaları,</w:t>
      </w:r>
    </w:p>
    <w:p w:rsidR="00116994" w:rsidRDefault="00D64EBF" w:rsidP="00D64EB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18"/>
          <w:lang w:eastAsia="tr-TR"/>
        </w:rPr>
      </w:pPr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 Eğitim öğretim yılı içerisinde öğrencilere yönelik sağlık, </w:t>
      </w:r>
      <w:proofErr w:type="gramStart"/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>hijyen</w:t>
      </w:r>
      <w:proofErr w:type="gramEnd"/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>, çevre sağlığı vb. eğitimlerin düzenlendiğine dair dokümanlar</w:t>
      </w:r>
      <w:r w:rsidR="00116994">
        <w:rPr>
          <w:rFonts w:asciiTheme="majorHAnsi" w:eastAsia="Times New Roman" w:hAnsiTheme="majorHAnsi" w:cs="Arial"/>
          <w:sz w:val="24"/>
          <w:szCs w:val="18"/>
          <w:lang w:eastAsia="tr-TR"/>
        </w:rPr>
        <w:t>,</w:t>
      </w:r>
    </w:p>
    <w:p w:rsidR="00D64EBF" w:rsidRPr="00116994" w:rsidRDefault="00116994" w:rsidP="00D64EB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18"/>
          <w:lang w:eastAsia="tr-TR"/>
        </w:rPr>
      </w:pPr>
      <w:r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Okulun </w:t>
      </w:r>
      <w:r w:rsidRPr="00116994"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sağlık, </w:t>
      </w:r>
      <w:proofErr w:type="gramStart"/>
      <w:r w:rsidRPr="00116994">
        <w:rPr>
          <w:rFonts w:asciiTheme="majorHAnsi" w:eastAsia="Times New Roman" w:hAnsiTheme="majorHAnsi" w:cs="Arial"/>
          <w:sz w:val="24"/>
          <w:szCs w:val="18"/>
          <w:lang w:eastAsia="tr-TR"/>
        </w:rPr>
        <w:t>hijyen</w:t>
      </w:r>
      <w:proofErr w:type="gramEnd"/>
      <w:r w:rsidRPr="00116994">
        <w:rPr>
          <w:rFonts w:asciiTheme="majorHAnsi" w:eastAsia="Times New Roman" w:hAnsiTheme="majorHAnsi" w:cs="Arial"/>
          <w:sz w:val="24"/>
          <w:szCs w:val="18"/>
          <w:lang w:eastAsia="tr-TR"/>
        </w:rPr>
        <w:t>, çevre sağlığı vb. konuları içeren okul panosu bulunmalıdır</w:t>
      </w:r>
      <w:r w:rsidR="00015E0A">
        <w:rPr>
          <w:rFonts w:asciiTheme="majorHAnsi" w:eastAsia="Times New Roman" w:hAnsiTheme="majorHAnsi" w:cs="Arial"/>
          <w:sz w:val="24"/>
          <w:szCs w:val="18"/>
          <w:lang w:eastAsia="tr-TR"/>
        </w:rPr>
        <w:t>,</w:t>
      </w:r>
    </w:p>
    <w:p w:rsidR="00D64EBF" w:rsidRPr="00292665" w:rsidRDefault="00D64EBF" w:rsidP="00D64EBF">
      <w:pPr>
        <w:pStyle w:val="ListeParagraf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18"/>
          <w:lang w:eastAsia="tr-TR"/>
        </w:rPr>
      </w:pPr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>Okul/Pansiyon su deposu temizliğinin düzenli olarak yapıldığına ve kayıt edildiğine dair belge.</w:t>
      </w:r>
    </w:p>
    <w:p w:rsidR="00D64EBF" w:rsidRPr="00292665" w:rsidRDefault="00D64EBF" w:rsidP="00D64EB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18"/>
          <w:lang w:eastAsia="tr-TR"/>
        </w:rPr>
      </w:pPr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Beyaz Bayrak almak için başvuruda bulunan eğitim kurumları, </w:t>
      </w:r>
      <w:r>
        <w:rPr>
          <w:rFonts w:asciiTheme="majorHAnsi" w:eastAsia="Times New Roman" w:hAnsiTheme="majorHAnsi" w:cs="Arial"/>
          <w:sz w:val="24"/>
          <w:szCs w:val="18"/>
          <w:lang w:eastAsia="tr-TR"/>
        </w:rPr>
        <w:t>İl Sağlık</w:t>
      </w:r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 Müdürlüğü ve İl Millî Eğitim Müdürlüğünden ikişer yetkilinin katılımı ile oluşturulan ‘Denetim Ekibi’ tarafından ‘Beyaz Bayrak Eğitim Kurumu Denetim Formu EK:1</w:t>
      </w:r>
      <w:proofErr w:type="gramStart"/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>)</w:t>
      </w:r>
      <w:proofErr w:type="gramEnd"/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’ ile 2 ay içerisinde okulların açık olduğu dönemde </w:t>
      </w:r>
      <w:r w:rsidRPr="00292665">
        <w:rPr>
          <w:rFonts w:asciiTheme="majorHAnsi" w:eastAsia="Times New Roman" w:hAnsiTheme="majorHAnsi" w:cs="Arial"/>
          <w:b/>
          <w:sz w:val="24"/>
          <w:szCs w:val="18"/>
          <w:lang w:eastAsia="tr-TR"/>
        </w:rPr>
        <w:t>(eğitim öğretim takvimi içinde)</w:t>
      </w:r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 denetlenir. Pansiyonu olan okullar ayrıca ‘Beyaz Bayrak Okul Pansiyonu Denetim Formu (Ek:1)’ ile denetlenir. Pansiyonlu eğitim kurumlarının her iki denetim formundan da geçerli puanı almaları halinde bu okullara  ‘Beyaz Bayrak’ veril</w:t>
      </w:r>
      <w:r>
        <w:rPr>
          <w:rFonts w:asciiTheme="majorHAnsi" w:eastAsia="Times New Roman" w:hAnsiTheme="majorHAnsi" w:cs="Arial"/>
          <w:sz w:val="24"/>
          <w:szCs w:val="18"/>
          <w:lang w:eastAsia="tr-TR"/>
        </w:rPr>
        <w:t>ir</w:t>
      </w:r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>.</w:t>
      </w:r>
      <w:r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 Yapılan ilk denetim (başvuru denetimi) sonucunda gerekli puanı alamayan eğitim kurumları, denetimden 3 ay sonra tekrar başvuru yapabilir.</w:t>
      </w:r>
    </w:p>
    <w:p w:rsidR="00D64EBF" w:rsidRDefault="00D64EBF" w:rsidP="00D64EB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18"/>
          <w:lang w:eastAsia="tr-TR"/>
        </w:rPr>
      </w:pPr>
      <w:proofErr w:type="gramStart"/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lastRenderedPageBreak/>
        <w:t xml:space="preserve">Değerlendirme sonucunda, toplamda 100 üzerinden 90 puan alan eğitim kurumları; </w:t>
      </w:r>
      <w:r w:rsidRPr="00292665">
        <w:rPr>
          <w:rFonts w:asciiTheme="majorHAnsi" w:eastAsia="Times New Roman" w:hAnsiTheme="majorHAnsi" w:cs="Arial"/>
          <w:b/>
          <w:sz w:val="24"/>
          <w:szCs w:val="18"/>
          <w:lang w:eastAsia="tr-TR"/>
        </w:rPr>
        <w:t>spor salonu, tiyatro salonu, atölye ve laboratuvardan (F Bölümü)</w:t>
      </w:r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 hiçbirisi bulunmayan eğitim kurumlarından 97 üzerinden 87 puan alanlar; </w:t>
      </w:r>
      <w:r w:rsidRPr="00292665">
        <w:rPr>
          <w:rFonts w:asciiTheme="majorHAnsi" w:eastAsia="Times New Roman" w:hAnsiTheme="majorHAnsi" w:cs="Arial"/>
          <w:b/>
          <w:sz w:val="24"/>
          <w:szCs w:val="18"/>
          <w:lang w:eastAsia="tr-TR"/>
        </w:rPr>
        <w:t xml:space="preserve">kantini (I Bölümü) </w:t>
      </w:r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>bulunmayan eğitim kurumlarında 74 üzerinden 67 puan alanlar;</w:t>
      </w:r>
      <w:r w:rsidRPr="00292665">
        <w:rPr>
          <w:rFonts w:asciiTheme="majorHAnsi" w:eastAsia="Times New Roman" w:hAnsiTheme="majorHAnsi" w:cs="Arial"/>
          <w:b/>
          <w:sz w:val="24"/>
          <w:szCs w:val="18"/>
          <w:lang w:eastAsia="tr-TR"/>
        </w:rPr>
        <w:t xml:space="preserve"> spor salonu, tiyatro salonu, atölye, laboratuvar (F Bölümü) ve kantin/kooperatif/yemekhane (I Bölümü)</w:t>
      </w:r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 bölümlerinden hiçbirisi bulunmayan eğitim kurumlarında 71 üzerinden 64 puan alanlar</w:t>
      </w:r>
      <w:r>
        <w:rPr>
          <w:rFonts w:asciiTheme="majorHAnsi" w:eastAsia="Times New Roman" w:hAnsiTheme="majorHAnsi" w:cs="Arial"/>
          <w:b/>
          <w:sz w:val="24"/>
          <w:szCs w:val="18"/>
          <w:lang w:eastAsia="tr-TR"/>
        </w:rPr>
        <w:t xml:space="preserve"> ‘</w:t>
      </w:r>
      <w:r w:rsidRPr="00292665">
        <w:rPr>
          <w:rFonts w:asciiTheme="majorHAnsi" w:eastAsia="Times New Roman" w:hAnsiTheme="majorHAnsi" w:cs="Arial"/>
          <w:b/>
          <w:sz w:val="24"/>
          <w:szCs w:val="18"/>
          <w:lang w:eastAsia="tr-TR"/>
        </w:rPr>
        <w:t xml:space="preserve">Beyaz Bayrak’ </w:t>
      </w:r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almaya hak kazanır. </w:t>
      </w:r>
      <w:proofErr w:type="gramEnd"/>
    </w:p>
    <w:p w:rsidR="00D64EBF" w:rsidRDefault="00D64EBF" w:rsidP="00D64EB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18"/>
          <w:lang w:eastAsia="tr-TR"/>
        </w:rPr>
      </w:pPr>
      <w:r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Verilen Sertifika, Beyaz Bayrak ve Pirinç Levha 3 yıllık süre ile geçerli olup, Beyaz Bayrak alan eğitim kurumlarının her yıl takip amaçlı yıllık denetimleri ‘Beyaz Bayrak Eğitim Kurumu Denetim Formu (EK:1)’ e göre yapılır. Üçüncü yılın sonunda eğitim kurumlarınca başvuru yapılır. İlgili denetim komisyonunca yapılan denetim sonucunda belirlenen </w:t>
      </w:r>
      <w:proofErr w:type="gramStart"/>
      <w:r>
        <w:rPr>
          <w:rFonts w:asciiTheme="majorHAnsi" w:eastAsia="Times New Roman" w:hAnsiTheme="majorHAnsi" w:cs="Arial"/>
          <w:sz w:val="24"/>
          <w:szCs w:val="18"/>
          <w:lang w:eastAsia="tr-TR"/>
        </w:rPr>
        <w:t>kriterleri</w:t>
      </w:r>
      <w:proofErr w:type="gramEnd"/>
      <w:r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 devam ettiremeyen veya başvuru yapmayan eğitim kurumuna verilen Pirinç levha ve Beyaz Bayrak geri alınır. Sertifika süresi dolan okula, yapılan takip denetimi (okulun 3.takip denetimi) sonucunda belirlenen </w:t>
      </w:r>
      <w:proofErr w:type="gramStart"/>
      <w:r>
        <w:rPr>
          <w:rFonts w:asciiTheme="majorHAnsi" w:eastAsia="Times New Roman" w:hAnsiTheme="majorHAnsi" w:cs="Arial"/>
          <w:sz w:val="24"/>
          <w:szCs w:val="18"/>
          <w:lang w:eastAsia="tr-TR"/>
        </w:rPr>
        <w:t>kriterleri</w:t>
      </w:r>
      <w:proofErr w:type="gramEnd"/>
      <w:r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 taşıması halinde yeni tarihli sertifika düzenlenir.</w:t>
      </w:r>
    </w:p>
    <w:p w:rsidR="00D64EBF" w:rsidRPr="00292665" w:rsidRDefault="00D64EBF" w:rsidP="00D64EB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18"/>
          <w:lang w:eastAsia="tr-TR"/>
        </w:rPr>
      </w:pPr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 xml:space="preserve">Beyaz Bayrak İş Birliği Protokolüne Bakanlığımızın </w:t>
      </w:r>
      <w:hyperlink r:id="rId7" w:history="1">
        <w:r w:rsidRPr="00292665">
          <w:rPr>
            <w:rStyle w:val="Kpr"/>
            <w:rFonts w:asciiTheme="majorHAnsi" w:eastAsia="Times New Roman" w:hAnsiTheme="majorHAnsi" w:cs="Arial"/>
            <w:b/>
            <w:sz w:val="24"/>
            <w:szCs w:val="18"/>
            <w:lang w:eastAsia="tr-TR"/>
          </w:rPr>
          <w:t>https://okulsagligi.meb.gov.tr/www/icerik_goruntule.php?KNO=20</w:t>
        </w:r>
      </w:hyperlink>
      <w:r w:rsidRPr="00292665">
        <w:rPr>
          <w:rFonts w:asciiTheme="majorHAnsi" w:eastAsia="Times New Roman" w:hAnsiTheme="majorHAnsi" w:cs="Arial"/>
          <w:b/>
          <w:color w:val="FF0000"/>
          <w:sz w:val="24"/>
          <w:szCs w:val="18"/>
          <w:lang w:eastAsia="tr-TR"/>
        </w:rPr>
        <w:t xml:space="preserve"> </w:t>
      </w:r>
      <w:r w:rsidRPr="00292665">
        <w:rPr>
          <w:rFonts w:asciiTheme="majorHAnsi" w:eastAsia="Times New Roman" w:hAnsiTheme="majorHAnsi" w:cs="Arial"/>
          <w:sz w:val="24"/>
          <w:szCs w:val="18"/>
          <w:lang w:eastAsia="tr-TR"/>
        </w:rPr>
        <w:t>internet adresinden ulaşılabilir.</w:t>
      </w:r>
    </w:p>
    <w:p w:rsidR="00D64EBF" w:rsidRPr="00292665" w:rsidRDefault="00D64EBF" w:rsidP="00D64EB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Arial"/>
          <w:sz w:val="24"/>
          <w:szCs w:val="18"/>
          <w:lang w:eastAsia="tr-TR"/>
        </w:rPr>
      </w:pPr>
    </w:p>
    <w:p w:rsidR="00D64EBF" w:rsidRDefault="00D64EBF" w:rsidP="00D64EBF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92665">
        <w:rPr>
          <w:noProof/>
          <w:sz w:val="20"/>
          <w:lang w:eastAsia="tr-TR"/>
        </w:rPr>
        <w:drawing>
          <wp:inline distT="0" distB="0" distL="0" distR="0" wp14:anchorId="5723CDAA" wp14:editId="1395C5EE">
            <wp:extent cx="1911927" cy="1314450"/>
            <wp:effectExtent l="0" t="0" r="0" b="0"/>
            <wp:docPr id="3" name="Resim 3" descr="C:\Users\FatmaYILDIRIM01\Desktop\Temiz-Okul-Saglikli-Okul-PirincTab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tmaYILDIRIM01\Desktop\Temiz-Okul-Saglikli-Okul-PirincTabel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27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665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92665">
        <w:rPr>
          <w:noProof/>
          <w:sz w:val="20"/>
          <w:lang w:eastAsia="tr-TR"/>
        </w:rPr>
        <w:drawing>
          <wp:inline distT="0" distB="0" distL="0" distR="0" wp14:anchorId="73D706C3" wp14:editId="1B2B55BC">
            <wp:extent cx="1981200" cy="1368311"/>
            <wp:effectExtent l="0" t="0" r="0" b="3810"/>
            <wp:docPr id="5" name="Resim 5" descr="C:\Users\FatmaYILDIRIM01\Desktop\MEB-Beyaz-Bayrak-Temiz-Okul-Bayra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atmaYILDIRIM01\Desktop\MEB-Beyaz-Bayrak-Temiz-Okul-Bayragi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48"/>
                    <a:stretch/>
                  </pic:blipFill>
                  <pic:spPr bwMode="auto">
                    <a:xfrm>
                      <a:off x="0" y="0"/>
                      <a:ext cx="1981200" cy="136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92665">
        <w:rPr>
          <w:noProof/>
          <w:color w:val="0000FF"/>
          <w:sz w:val="20"/>
          <w:lang w:eastAsia="tr-TR"/>
        </w:rPr>
        <w:drawing>
          <wp:inline distT="0" distB="0" distL="0" distR="0" wp14:anchorId="6884E08A" wp14:editId="4CA706C4">
            <wp:extent cx="1797026" cy="1304925"/>
            <wp:effectExtent l="0" t="0" r="0" b="0"/>
            <wp:docPr id="6" name="irc_mi" descr="Beyaz Bayrak sertifikası ile ilgili görsel sonuc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eyaz Bayrak sertifikası ile ilgili görsel sonuc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00" cy="130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830" w:rsidRDefault="0060683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6830" w:rsidRDefault="0060683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</w:p>
    <w:p w:rsidR="00606830" w:rsidRDefault="0060683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953C5" w:rsidRDefault="006953C5" w:rsidP="006953C5">
      <w:pPr>
        <w:rPr>
          <w:rFonts w:asciiTheme="majorHAnsi" w:hAnsiTheme="majorHAnsi"/>
          <w:b/>
          <w:color w:val="FF0000"/>
          <w:sz w:val="28"/>
        </w:rPr>
      </w:pPr>
      <w:proofErr w:type="gramStart"/>
      <w:r w:rsidRPr="005A11FF">
        <w:rPr>
          <w:rFonts w:asciiTheme="majorHAnsi" w:hAnsiTheme="majorHAnsi"/>
          <w:b/>
          <w:color w:val="FF0000"/>
          <w:sz w:val="28"/>
        </w:rPr>
        <w:t xml:space="preserve">İrtibat </w:t>
      </w:r>
      <w:r>
        <w:rPr>
          <w:rFonts w:asciiTheme="majorHAnsi" w:hAnsiTheme="majorHAnsi"/>
          <w:b/>
          <w:color w:val="FF0000"/>
          <w:sz w:val="28"/>
        </w:rPr>
        <w:t>:</w:t>
      </w:r>
      <w:proofErr w:type="gramEnd"/>
    </w:p>
    <w:p w:rsidR="006953C5" w:rsidRPr="005A11FF" w:rsidRDefault="006953C5" w:rsidP="006953C5">
      <w:pPr>
        <w:rPr>
          <w:rFonts w:asciiTheme="majorHAnsi" w:hAnsiTheme="majorHAnsi"/>
          <w:b/>
          <w:color w:val="FF0000"/>
          <w:sz w:val="28"/>
        </w:rPr>
      </w:pPr>
      <w:r>
        <w:rPr>
          <w:rFonts w:asciiTheme="majorHAnsi" w:hAnsiTheme="majorHAnsi"/>
          <w:b/>
          <w:color w:val="FF0000"/>
          <w:sz w:val="28"/>
        </w:rPr>
        <w:t>Destek-3 (Sağlık) Şube Müdürlüğü</w:t>
      </w:r>
    </w:p>
    <w:p w:rsidR="006953C5" w:rsidRPr="00292665" w:rsidRDefault="006953C5" w:rsidP="006953C5">
      <w:pPr>
        <w:rPr>
          <w:sz w:val="20"/>
        </w:rPr>
      </w:pPr>
      <w:r w:rsidRPr="005A11FF">
        <w:rPr>
          <w:rFonts w:asciiTheme="majorHAnsi" w:hAnsiTheme="majorHAnsi"/>
          <w:b/>
          <w:color w:val="FF0000"/>
          <w:sz w:val="28"/>
        </w:rPr>
        <w:t>(0324) 329 14 81-82-83-84/307</w:t>
      </w:r>
    </w:p>
    <w:p w:rsidR="00606830" w:rsidRPr="00606830" w:rsidRDefault="00606830">
      <w:pPr>
        <w:rPr>
          <w:sz w:val="20"/>
        </w:rPr>
      </w:pPr>
    </w:p>
    <w:sectPr w:rsidR="00606830" w:rsidRPr="00606830" w:rsidSect="00015E0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07B47"/>
    <w:multiLevelType w:val="hybridMultilevel"/>
    <w:tmpl w:val="91E0D6E0"/>
    <w:lvl w:ilvl="0" w:tplc="0A2EEFD8">
      <w:start w:val="1"/>
      <w:numFmt w:val="decimal"/>
      <w:lvlText w:val="%1-"/>
      <w:lvlJc w:val="left"/>
      <w:pPr>
        <w:ind w:left="735" w:hanging="375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311F3"/>
    <w:multiLevelType w:val="hybridMultilevel"/>
    <w:tmpl w:val="C2EED63A"/>
    <w:lvl w:ilvl="0" w:tplc="0A2EEFD8">
      <w:start w:val="1"/>
      <w:numFmt w:val="decimal"/>
      <w:lvlText w:val="%1-"/>
      <w:lvlJc w:val="left"/>
      <w:pPr>
        <w:ind w:left="735" w:hanging="375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16F3E"/>
    <w:multiLevelType w:val="hybridMultilevel"/>
    <w:tmpl w:val="BC967EB2"/>
    <w:lvl w:ilvl="0" w:tplc="041F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>
    <w:nsid w:val="7C3316C1"/>
    <w:multiLevelType w:val="hybridMultilevel"/>
    <w:tmpl w:val="8CF87640"/>
    <w:lvl w:ilvl="0" w:tplc="6206F97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819"/>
    <w:rsid w:val="00006B45"/>
    <w:rsid w:val="00015E0A"/>
    <w:rsid w:val="000218E7"/>
    <w:rsid w:val="00032588"/>
    <w:rsid w:val="000459BE"/>
    <w:rsid w:val="000914C9"/>
    <w:rsid w:val="000A7E85"/>
    <w:rsid w:val="001155A4"/>
    <w:rsid w:val="00116994"/>
    <w:rsid w:val="001C6971"/>
    <w:rsid w:val="00205D7E"/>
    <w:rsid w:val="0020729D"/>
    <w:rsid w:val="00224F60"/>
    <w:rsid w:val="00257E96"/>
    <w:rsid w:val="002608B3"/>
    <w:rsid w:val="00292665"/>
    <w:rsid w:val="00322921"/>
    <w:rsid w:val="003242E3"/>
    <w:rsid w:val="003318C8"/>
    <w:rsid w:val="003473FD"/>
    <w:rsid w:val="003475AE"/>
    <w:rsid w:val="003619C3"/>
    <w:rsid w:val="003B039F"/>
    <w:rsid w:val="004328E5"/>
    <w:rsid w:val="00463819"/>
    <w:rsid w:val="00472671"/>
    <w:rsid w:val="004A538A"/>
    <w:rsid w:val="004B3220"/>
    <w:rsid w:val="004F3811"/>
    <w:rsid w:val="0053757D"/>
    <w:rsid w:val="0059051C"/>
    <w:rsid w:val="005D2762"/>
    <w:rsid w:val="005E14ED"/>
    <w:rsid w:val="005F1CAC"/>
    <w:rsid w:val="005F42B6"/>
    <w:rsid w:val="00606830"/>
    <w:rsid w:val="00636FA6"/>
    <w:rsid w:val="006643AA"/>
    <w:rsid w:val="00666EBE"/>
    <w:rsid w:val="00667FD2"/>
    <w:rsid w:val="006953C5"/>
    <w:rsid w:val="006F4AAC"/>
    <w:rsid w:val="00702CA6"/>
    <w:rsid w:val="00712C72"/>
    <w:rsid w:val="00735BD7"/>
    <w:rsid w:val="007639C3"/>
    <w:rsid w:val="007B6AAE"/>
    <w:rsid w:val="008908D8"/>
    <w:rsid w:val="00891B99"/>
    <w:rsid w:val="0090295A"/>
    <w:rsid w:val="00906628"/>
    <w:rsid w:val="00917014"/>
    <w:rsid w:val="009353E8"/>
    <w:rsid w:val="009D371E"/>
    <w:rsid w:val="00A0750C"/>
    <w:rsid w:val="00A24797"/>
    <w:rsid w:val="00AC0C55"/>
    <w:rsid w:val="00AE7BAB"/>
    <w:rsid w:val="00B47630"/>
    <w:rsid w:val="00BA0B56"/>
    <w:rsid w:val="00BA23B0"/>
    <w:rsid w:val="00BB5B4E"/>
    <w:rsid w:val="00C60F62"/>
    <w:rsid w:val="00C677FA"/>
    <w:rsid w:val="00CA37E9"/>
    <w:rsid w:val="00D01A96"/>
    <w:rsid w:val="00D159FF"/>
    <w:rsid w:val="00D232AB"/>
    <w:rsid w:val="00D4272E"/>
    <w:rsid w:val="00D64EBF"/>
    <w:rsid w:val="00D81EB0"/>
    <w:rsid w:val="00DA5CC3"/>
    <w:rsid w:val="00DD628A"/>
    <w:rsid w:val="00DF002E"/>
    <w:rsid w:val="00E0325F"/>
    <w:rsid w:val="00E4687B"/>
    <w:rsid w:val="00E56C40"/>
    <w:rsid w:val="00E749AB"/>
    <w:rsid w:val="00EB0BC6"/>
    <w:rsid w:val="00EB3207"/>
    <w:rsid w:val="00F6083C"/>
    <w:rsid w:val="00F718F2"/>
    <w:rsid w:val="00F93552"/>
    <w:rsid w:val="00FA6CB3"/>
    <w:rsid w:val="00FC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38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3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0C5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66EB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F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8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38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03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C0C5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666EB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F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5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2498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2E2E2"/>
                                        <w:right w:val="none" w:sz="0" w:space="0" w:color="auto"/>
                                      </w:divBdr>
                                      <w:divsChild>
                                        <w:div w:id="427048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25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02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9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595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978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2E2E2"/>
                                        <w:right w:val="none" w:sz="0" w:space="0" w:color="auto"/>
                                      </w:divBdr>
                                      <w:divsChild>
                                        <w:div w:id="45587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1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808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2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40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2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2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7318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2E2E2"/>
                                        <w:right w:val="none" w:sz="0" w:space="0" w:color="auto"/>
                                      </w:divBdr>
                                      <w:divsChild>
                                        <w:div w:id="94839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248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35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kulsagligi.meb.gov.tr/www/icerik_goruntule.php?KNO=2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s://www.google.com.tr/url?sa=i&amp;rct=j&amp;q=&amp;esrc=s&amp;source=images&amp;cd=&amp;cad=rja&amp;uact=8&amp;ved=0ahUKEwi635CYstPUAhWpYpoKHQbmBDwQjRwIBw&amp;url=https://okulsagligi.meb.gov.tr/www/icerik_goruntule.php?KNO%3D20&amp;psig=AFQjCNGrxdX12htYG9lBFzQ1BcELbHDPnQ&amp;ust=149828753666578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712AF-455B-452D-9A5E-0A54C5164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YILDIRIM</dc:creator>
  <cp:lastModifiedBy>Fatma YILDIRIM</cp:lastModifiedBy>
  <cp:revision>90</cp:revision>
  <dcterms:created xsi:type="dcterms:W3CDTF">2017-06-22T06:25:00Z</dcterms:created>
  <dcterms:modified xsi:type="dcterms:W3CDTF">2018-01-23T08:11:00Z</dcterms:modified>
</cp:coreProperties>
</file>